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36C" w:rsidRDefault="0019036C" w:rsidP="00CD2EF1">
      <w:pPr>
        <w:jc w:val="center"/>
        <w:rPr>
          <w:rFonts w:ascii="Verdana" w:hAnsi="Verdana"/>
          <w:b/>
          <w:sz w:val="22"/>
          <w:szCs w:val="22"/>
          <w:lang w:val="pt-BR"/>
        </w:rPr>
      </w:pPr>
      <w:bookmarkStart w:id="0" w:name="_GoBack"/>
      <w:bookmarkEnd w:id="0"/>
      <w:r>
        <w:rPr>
          <w:rFonts w:ascii="Verdana" w:hAnsi="Verdana"/>
          <w:b/>
          <w:noProof/>
          <w:sz w:val="22"/>
          <w:szCs w:val="22"/>
          <w:lang w:val="es-CL" w:eastAsia="es-CL"/>
        </w:rPr>
        <w:drawing>
          <wp:inline distT="0" distB="0" distL="0" distR="0" wp14:anchorId="30C0E9F5" wp14:editId="73DC1B64">
            <wp:extent cx="1359535" cy="123126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inline>
        </w:drawing>
      </w:r>
    </w:p>
    <w:p w:rsidR="0019036C" w:rsidRDefault="0019036C" w:rsidP="00CD2EF1">
      <w:pPr>
        <w:jc w:val="center"/>
        <w:rPr>
          <w:rFonts w:ascii="Verdana" w:hAnsi="Verdana"/>
          <w:b/>
          <w:sz w:val="22"/>
          <w:szCs w:val="22"/>
          <w:lang w:val="pt-BR"/>
        </w:rPr>
      </w:pPr>
    </w:p>
    <w:p w:rsidR="0019036C" w:rsidRPr="00160D0D" w:rsidRDefault="0019036C" w:rsidP="00CD2EF1">
      <w:pPr>
        <w:jc w:val="center"/>
        <w:rPr>
          <w:rFonts w:ascii="Verdana" w:hAnsi="Verdana"/>
          <w:b/>
          <w:lang w:val="pt-BR"/>
        </w:rPr>
      </w:pPr>
    </w:p>
    <w:p w:rsidR="00CD2EF1" w:rsidRPr="00F27845" w:rsidRDefault="00E17D6A" w:rsidP="00CD2EF1">
      <w:pPr>
        <w:jc w:val="center"/>
        <w:rPr>
          <w:rFonts w:ascii="Verdana" w:hAnsi="Verdana"/>
          <w:b/>
          <w:lang w:val="pt-BR"/>
        </w:rPr>
      </w:pPr>
      <w:r w:rsidRPr="00F27845">
        <w:rPr>
          <w:rFonts w:ascii="Verdana" w:hAnsi="Verdana"/>
          <w:b/>
          <w:lang w:val="pt-BR"/>
        </w:rPr>
        <w:t>AVANCE</w:t>
      </w:r>
      <w:r w:rsidR="00CD2EF1" w:rsidRPr="00F27845">
        <w:rPr>
          <w:rFonts w:ascii="Verdana" w:hAnsi="Verdana"/>
          <w:b/>
          <w:lang w:val="pt-BR"/>
        </w:rPr>
        <w:t xml:space="preserve"> DE GLOSAS PRESUPUESTARIAS</w:t>
      </w:r>
    </w:p>
    <w:p w:rsidR="00CD2EF1" w:rsidRPr="00F27845" w:rsidRDefault="00CD2EF1" w:rsidP="00CD2EF1">
      <w:pPr>
        <w:jc w:val="center"/>
        <w:rPr>
          <w:rFonts w:ascii="Verdana" w:hAnsi="Verdana"/>
          <w:b/>
          <w:lang w:val="pt-BR"/>
        </w:rPr>
      </w:pPr>
      <w:r w:rsidRPr="00F27845">
        <w:rPr>
          <w:rFonts w:ascii="Verdana" w:hAnsi="Verdana"/>
          <w:b/>
          <w:lang w:val="pt-BR"/>
        </w:rPr>
        <w:t>AÑO 20</w:t>
      </w:r>
      <w:r w:rsidR="008D61C3" w:rsidRPr="00F27845">
        <w:rPr>
          <w:rFonts w:ascii="Verdana" w:hAnsi="Verdana"/>
          <w:b/>
          <w:lang w:val="pt-BR"/>
        </w:rPr>
        <w:t>2</w:t>
      </w:r>
      <w:r w:rsidR="00246BDB">
        <w:rPr>
          <w:rFonts w:ascii="Verdana" w:hAnsi="Verdana"/>
          <w:b/>
          <w:lang w:val="pt-BR"/>
        </w:rPr>
        <w:t>5</w:t>
      </w:r>
    </w:p>
    <w:p w:rsidR="00CD2EF1" w:rsidRPr="00F27845" w:rsidRDefault="000A0E9D" w:rsidP="00CD2EF1">
      <w:pPr>
        <w:tabs>
          <w:tab w:val="left" w:pos="-1080"/>
          <w:tab w:val="left" w:pos="-720"/>
          <w:tab w:val="left" w:pos="0"/>
          <w:tab w:val="left" w:pos="720"/>
          <w:tab w:val="left" w:pos="1440"/>
          <w:tab w:val="left" w:pos="2160"/>
          <w:tab w:val="left" w:pos="2880"/>
          <w:tab w:val="left" w:pos="3600"/>
          <w:tab w:val="left" w:pos="4320"/>
          <w:tab w:val="left" w:pos="5362"/>
          <w:tab w:val="left" w:pos="5760"/>
          <w:tab w:val="left" w:pos="5954"/>
          <w:tab w:val="left" w:pos="6237"/>
          <w:tab w:val="left" w:pos="8640"/>
          <w:tab w:val="left" w:pos="9360"/>
        </w:tabs>
        <w:jc w:val="center"/>
        <w:rPr>
          <w:rFonts w:ascii="Verdana" w:hAnsi="Verdana"/>
          <w:b/>
          <w:noProof/>
          <w:lang w:val="es-CL"/>
        </w:rPr>
      </w:pPr>
      <w:r>
        <w:rPr>
          <w:rFonts w:ascii="Verdana" w:hAnsi="Verdana"/>
          <w:b/>
          <w:noProof/>
          <w:lang w:val="es-CL"/>
        </w:rPr>
        <w:t>SUBDIRECCIÓN DE SERVICIOS SANITARIOS RURALES</w:t>
      </w:r>
    </w:p>
    <w:p w:rsidR="00A9084B" w:rsidRDefault="00A9084B" w:rsidP="00CD2EF1">
      <w:pPr>
        <w:tabs>
          <w:tab w:val="left" w:pos="142"/>
        </w:tabs>
        <w:ind w:right="902"/>
        <w:jc w:val="both"/>
        <w:rPr>
          <w:rFonts w:ascii="Verdana" w:hAnsi="Verdana"/>
          <w:b/>
          <w:lang w:val="es-CL"/>
        </w:rPr>
      </w:pPr>
    </w:p>
    <w:p w:rsidR="00AF721C" w:rsidRPr="00866966" w:rsidRDefault="00AF721C" w:rsidP="00CD2EF1">
      <w:pPr>
        <w:tabs>
          <w:tab w:val="left" w:pos="142"/>
        </w:tabs>
        <w:ind w:right="902"/>
        <w:jc w:val="both"/>
        <w:rPr>
          <w:rFonts w:ascii="Verdana" w:hAnsi="Verdana"/>
          <w:b/>
          <w:lang w:val="es-CL"/>
        </w:rPr>
      </w:pPr>
    </w:p>
    <w:p w:rsidR="00AF721C" w:rsidRPr="00866966" w:rsidRDefault="00246BDB" w:rsidP="00CD2EF1">
      <w:pPr>
        <w:tabs>
          <w:tab w:val="left" w:pos="142"/>
        </w:tabs>
        <w:ind w:right="902"/>
        <w:jc w:val="both"/>
        <w:rPr>
          <w:rFonts w:ascii="Verdana" w:hAnsi="Verdana"/>
          <w:b/>
          <w:lang w:val="es-CL"/>
        </w:rPr>
      </w:pPr>
      <w:r>
        <w:rPr>
          <w:rFonts w:ascii="Verdana" w:hAnsi="Verdana"/>
          <w:b/>
          <w:lang w:val="es-CL"/>
        </w:rPr>
        <w:t>Art. 14.13</w:t>
      </w:r>
    </w:p>
    <w:p w:rsidR="00AF721C" w:rsidRPr="00866966" w:rsidRDefault="00AF721C" w:rsidP="00CD2EF1">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El Ministerio Secretaría General de la Presidencia informará antes del 31 de enero de 2025 acerca de los resultados de la implementación y desarrollo del Plan Buen Vivir durante el año 2024, salvo en lo relativo al Programa de Infraestructura del referido Plan, que corresponderá informar, en igual fecha, al Ministerio de Obras Públicas.</w:t>
      </w:r>
    </w:p>
    <w:p w:rsidR="00246BDB" w:rsidRPr="00246BDB" w:rsidRDefault="00246BDB" w:rsidP="00CF6A3E">
      <w:pPr>
        <w:tabs>
          <w:tab w:val="left" w:pos="142"/>
        </w:tabs>
        <w:ind w:right="49"/>
        <w:jc w:val="both"/>
        <w:rPr>
          <w:rFonts w:ascii="Verdana" w:hAnsi="Verdana"/>
          <w:lang w:val="es-CL"/>
        </w:rPr>
      </w:pPr>
      <w:r w:rsidRPr="00246BDB">
        <w:rPr>
          <w:rFonts w:ascii="Verdana" w:hAnsi="Verdana"/>
          <w:lang w:val="es-CL"/>
        </w:rPr>
        <w:t xml:space="preserve">Asimismo, los ministerios indicados en el párrafo anterior deberán informar, en el mismo plazo </w:t>
      </w:r>
      <w:r>
        <w:rPr>
          <w:rFonts w:ascii="Verdana" w:hAnsi="Verdana"/>
          <w:lang w:val="es-CL"/>
        </w:rPr>
        <w:t xml:space="preserve"> </w:t>
      </w:r>
      <w:r w:rsidRPr="00246BDB">
        <w:rPr>
          <w:rFonts w:ascii="Verdana" w:hAnsi="Verdana"/>
          <w:lang w:val="es-CL"/>
        </w:rPr>
        <w:t>y cada uno en el ámbito de sus competencias relativas al Plan, sobre la planificación presupuestaria, objetivos y metas que éste tendrá para el año 2025.</w:t>
      </w:r>
    </w:p>
    <w:p w:rsidR="00D74466" w:rsidRPr="004A23F9" w:rsidRDefault="00246BDB" w:rsidP="00CF6A3E">
      <w:pPr>
        <w:tabs>
          <w:tab w:val="left" w:pos="142"/>
        </w:tabs>
        <w:ind w:right="49"/>
        <w:jc w:val="both"/>
        <w:rPr>
          <w:rFonts w:ascii="Verdana" w:hAnsi="Verdana"/>
          <w:lang w:val="es-CL"/>
        </w:rPr>
      </w:pPr>
      <w:r w:rsidRPr="00246BDB">
        <w:rPr>
          <w:rFonts w:ascii="Verdana" w:hAnsi="Verdana"/>
          <w:lang w:val="es-CL"/>
        </w:rPr>
        <w:t xml:space="preserve">Además, trimestralmente, el Ministerio Secretaría General de la Presidencia informará </w:t>
      </w:r>
      <w:r w:rsidRPr="004A23F9">
        <w:rPr>
          <w:rFonts w:ascii="Verdana" w:hAnsi="Verdana"/>
          <w:lang w:val="es-CL"/>
        </w:rPr>
        <w:t>de las actividades desarrolladas en el marco del Plan Buen Vivir. En tanto, el Ministerio de Obras Públicas informará de las obras ejecutadas y su nivel de avance, con indicación de la cobertura de población, desagregadas por comuna.</w:t>
      </w:r>
    </w:p>
    <w:p w:rsidR="00D74466" w:rsidRPr="004A23F9" w:rsidRDefault="00D74466" w:rsidP="00CD2EF1">
      <w:pPr>
        <w:tabs>
          <w:tab w:val="left" w:pos="142"/>
        </w:tabs>
        <w:ind w:right="902"/>
        <w:jc w:val="both"/>
        <w:rPr>
          <w:rFonts w:ascii="Verdana" w:hAnsi="Verdana"/>
          <w:lang w:val="es-CL"/>
        </w:rPr>
      </w:pPr>
    </w:p>
    <w:p w:rsidR="00D74466" w:rsidRDefault="004A23F9" w:rsidP="00CD2EF1">
      <w:pPr>
        <w:tabs>
          <w:tab w:val="left" w:pos="142"/>
        </w:tabs>
        <w:ind w:right="902"/>
        <w:jc w:val="both"/>
        <w:rPr>
          <w:rFonts w:ascii="Verdana" w:hAnsi="Verdana"/>
          <w:lang w:val="es-CL"/>
        </w:rPr>
      </w:pPr>
      <w:r w:rsidRPr="004A23F9">
        <w:rPr>
          <w:rFonts w:ascii="Verdana" w:hAnsi="Verdana"/>
          <w:lang w:val="es-CL"/>
        </w:rPr>
        <w:t>Será respondido por la Dirección General de obras Públicas.</w:t>
      </w:r>
    </w:p>
    <w:p w:rsidR="00AF721C" w:rsidRDefault="00AF721C" w:rsidP="00CD2EF1">
      <w:pPr>
        <w:tabs>
          <w:tab w:val="left" w:pos="142"/>
        </w:tabs>
        <w:ind w:right="902"/>
        <w:jc w:val="both"/>
        <w:rPr>
          <w:rFonts w:ascii="Verdana" w:hAnsi="Verdana"/>
          <w:lang w:val="es-CL"/>
        </w:rPr>
      </w:pPr>
    </w:p>
    <w:p w:rsidR="00246BDB" w:rsidRPr="00866966" w:rsidRDefault="00246BDB" w:rsidP="00246BDB">
      <w:pPr>
        <w:tabs>
          <w:tab w:val="left" w:pos="142"/>
        </w:tabs>
        <w:ind w:right="902"/>
        <w:jc w:val="both"/>
        <w:rPr>
          <w:rFonts w:ascii="Verdana" w:hAnsi="Verdana"/>
          <w:b/>
          <w:lang w:val="es-CL"/>
        </w:rPr>
      </w:pPr>
      <w:r>
        <w:rPr>
          <w:rFonts w:ascii="Verdana" w:hAnsi="Verdana"/>
          <w:b/>
          <w:lang w:val="es-CL"/>
        </w:rPr>
        <w:t>Art. 14.19</w:t>
      </w:r>
    </w:p>
    <w:p w:rsidR="00246BDB" w:rsidRPr="00866966" w:rsidRDefault="00246BDB"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Un reporte trimestral desagregado por ministerio y por región, que dé cuenta de todos los proyectos o programas identificados con el etiquetado de “Género” y de “Cambio Climático” a nivel de Subtítulo.</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Asimismo, los órganos del Estado regidos por esta ley deberán cumplir con las siguientes obligaciones de información y publicación:</w:t>
      </w:r>
    </w:p>
    <w:p w:rsidR="00996AEE" w:rsidRPr="00246BDB" w:rsidRDefault="00996AEE" w:rsidP="00246BDB">
      <w:pPr>
        <w:tabs>
          <w:tab w:val="left" w:pos="142"/>
        </w:tabs>
        <w:ind w:right="902"/>
        <w:jc w:val="both"/>
        <w:rPr>
          <w:rFonts w:ascii="Verdana" w:hAnsi="Verdana"/>
          <w:lang w:val="es-CL"/>
        </w:rPr>
      </w:pPr>
    </w:p>
    <w:p w:rsidR="00246BDB" w:rsidRPr="00996AEE" w:rsidRDefault="00246BDB" w:rsidP="00CF6A3E">
      <w:pPr>
        <w:pStyle w:val="Prrafodelista"/>
        <w:numPr>
          <w:ilvl w:val="0"/>
          <w:numId w:val="9"/>
        </w:numPr>
        <w:tabs>
          <w:tab w:val="left" w:pos="142"/>
        </w:tabs>
        <w:ind w:left="426" w:right="49" w:hanging="426"/>
        <w:jc w:val="both"/>
        <w:rPr>
          <w:rFonts w:ascii="Verdana" w:hAnsi="Verdana"/>
          <w:lang w:val="es-CL"/>
        </w:rPr>
      </w:pPr>
      <w:r w:rsidRPr="00996AEE">
        <w:rPr>
          <w:rFonts w:ascii="Verdana" w:hAnsi="Verdana"/>
          <w:lang w:val="es-CL"/>
        </w:rPr>
        <w:t>Publicar en su sitio electrónico institucional un informe trimestral que contenga, en su caso, la individualización de los proyectos beneficiados con cargo a los Subtítulos 24 y 33, nómina de beneficiarios, metodología de elección de éstos, las personas o entidades ejecutoras de los recursos, los montos asignados, la modalidad de asignació</w:t>
      </w:r>
      <w:r w:rsidR="00996AEE" w:rsidRPr="00996AEE">
        <w:rPr>
          <w:rFonts w:ascii="Verdana" w:hAnsi="Verdana"/>
          <w:lang w:val="es-CL"/>
        </w:rPr>
        <w:t xml:space="preserve">n, las actividades financiadas, </w:t>
      </w:r>
      <w:r w:rsidRPr="00996AEE">
        <w:rPr>
          <w:rFonts w:ascii="Verdana" w:hAnsi="Verdana"/>
          <w:lang w:val="es-CL"/>
        </w:rPr>
        <w:t xml:space="preserve">los objetivos y metas </w:t>
      </w:r>
      <w:r w:rsidRPr="00996AEE">
        <w:rPr>
          <w:rFonts w:ascii="Verdana" w:hAnsi="Verdana"/>
          <w:lang w:val="es-CL"/>
        </w:rPr>
        <w:lastRenderedPageBreak/>
        <w:t>anuales, los montos y porcentajes de ejecución, desagregados por programa presupuestario, región y comuna según sea el caso, dentro de los treinta días siguientes al término del respectivo trimestre. En caso de contener coberturas y recursos asignados en glosa, la información deberá presentarse con dicho nivel de desagregación.</w:t>
      </w:r>
    </w:p>
    <w:p w:rsidR="00996AEE" w:rsidRPr="00996AEE" w:rsidRDefault="00996AEE" w:rsidP="00996AEE">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Si las asignaciones a las que hace mención el párrafo precedente corresponden a transferencias a municipios, el informe respectivo también deberá contener una copia de los convenios firmados con los alcaldes, el desglose por municipio de los montos transferidos y el criterio bajo el cual éstos fueron distribuidos.</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precitada información deberá ser remitida en igual plazo y con el mismo detalle a la Comisión Especial Mixta de Presupuestos.</w:t>
      </w:r>
    </w:p>
    <w:p w:rsidR="00996AEE" w:rsidRPr="00246BDB" w:rsidRDefault="00996AEE" w:rsidP="00246BDB">
      <w:pPr>
        <w:tabs>
          <w:tab w:val="left" w:pos="142"/>
        </w:tabs>
        <w:ind w:right="902"/>
        <w:jc w:val="both"/>
        <w:rPr>
          <w:rFonts w:ascii="Verdana" w:hAnsi="Verdana"/>
          <w:lang w:val="es-CL"/>
        </w:rPr>
      </w:pPr>
    </w:p>
    <w:p w:rsidR="00246BDB" w:rsidRPr="00996AEE" w:rsidRDefault="00246BDB" w:rsidP="00CF6A3E">
      <w:pPr>
        <w:pStyle w:val="Prrafodelista"/>
        <w:numPr>
          <w:ilvl w:val="0"/>
          <w:numId w:val="9"/>
        </w:numPr>
        <w:tabs>
          <w:tab w:val="left" w:pos="142"/>
        </w:tabs>
        <w:ind w:right="49"/>
        <w:jc w:val="both"/>
        <w:rPr>
          <w:rFonts w:ascii="Verdana" w:hAnsi="Verdana"/>
          <w:lang w:val="es-CL"/>
        </w:rPr>
      </w:pPr>
      <w:r w:rsidRPr="00996AEE">
        <w:rPr>
          <w:rFonts w:ascii="Verdana" w:hAnsi="Verdana"/>
          <w:lang w:val="es-CL"/>
        </w:rPr>
        <w:t>Publicar en sus respectivos portales de transparencia activa las actas de evaluación emitidas por las comisiones evaluadoras de licitaciones y compras públicas de bienes y servicios que realicen en el marco de la ley N° 19.886, dentro de los treinta días siguientes al término del respectivo proceso.</w:t>
      </w:r>
    </w:p>
    <w:p w:rsidR="00996AEE" w:rsidRPr="00996AEE" w:rsidRDefault="00996AEE" w:rsidP="00996AEE">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precitada información deberá ser remitida a la Comisión Especial Mixta de Presupuestos trimestralmente, dentro de los treinta días posteriores al término del trimestre respectivo con el mismo detalle.</w:t>
      </w:r>
    </w:p>
    <w:p w:rsidR="00996AEE" w:rsidRPr="00246BDB" w:rsidRDefault="00996AEE" w:rsidP="00246BDB">
      <w:pPr>
        <w:tabs>
          <w:tab w:val="left" w:pos="142"/>
        </w:tabs>
        <w:ind w:right="902"/>
        <w:jc w:val="both"/>
        <w:rPr>
          <w:rFonts w:ascii="Verdana" w:hAnsi="Verdana"/>
          <w:lang w:val="es-CL"/>
        </w:rPr>
      </w:pPr>
    </w:p>
    <w:p w:rsidR="00246BDB" w:rsidRPr="00996AEE" w:rsidRDefault="00246BDB" w:rsidP="00CF6A3E">
      <w:pPr>
        <w:pStyle w:val="Prrafodelista"/>
        <w:numPr>
          <w:ilvl w:val="0"/>
          <w:numId w:val="9"/>
        </w:numPr>
        <w:tabs>
          <w:tab w:val="left" w:pos="142"/>
        </w:tabs>
        <w:ind w:right="49"/>
        <w:jc w:val="both"/>
        <w:rPr>
          <w:rFonts w:ascii="Verdana" w:hAnsi="Verdana"/>
          <w:lang w:val="es-CL"/>
        </w:rPr>
      </w:pPr>
      <w:r w:rsidRPr="00996AEE">
        <w:rPr>
          <w:rFonts w:ascii="Verdana" w:hAnsi="Verdana"/>
          <w:lang w:val="es-CL"/>
        </w:rPr>
        <w:t>Cada ministerio y los demás órganos de la Administración del Estado deberán publicar en sus respectivos sitios electrónicos institucionales la información relativa al presupuesto asignado por esta ley.</w:t>
      </w:r>
    </w:p>
    <w:p w:rsidR="00996AEE" w:rsidRPr="00996AEE" w:rsidRDefault="00996AEE" w:rsidP="00996AEE">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Para estos efectos procurarán utilizar un lenguaje claro que permita ser comprendido por la mayor cantidad de personas, con utilización de gráficos y otros mecanismos que permitan comprender, de manera sencilla, la composición del presupuesto y de los disti</w:t>
      </w:r>
      <w:r w:rsidR="00996AEE">
        <w:rPr>
          <w:rFonts w:ascii="Verdana" w:hAnsi="Verdana"/>
          <w:lang w:val="es-CL"/>
        </w:rPr>
        <w:t xml:space="preserve">ntos elementos que lo integran, </w:t>
      </w:r>
      <w:r w:rsidRPr="00246BDB">
        <w:rPr>
          <w:rFonts w:ascii="Verdana" w:hAnsi="Verdana"/>
          <w:lang w:val="es-CL"/>
        </w:rPr>
        <w:t>y vincularán esta información a las orientaciones estratégicas, objetivos prioritarios y resultados</w:t>
      </w:r>
      <w:r w:rsidR="00996AEE">
        <w:rPr>
          <w:rFonts w:ascii="Verdana" w:hAnsi="Verdana"/>
          <w:lang w:val="es-CL"/>
        </w:rPr>
        <w:t xml:space="preserve"> </w:t>
      </w:r>
      <w:r w:rsidRPr="00246BDB">
        <w:rPr>
          <w:rFonts w:ascii="Verdana" w:hAnsi="Verdana"/>
          <w:lang w:val="es-CL"/>
        </w:rPr>
        <w:t>esperados para el período.</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Se deberán contemplar mecanismos de participación ciudadana, que permitan recoger inquietudes y realizar consultas sobre iniciativas en estudio o para la priorización de acciones futuras, a través de consejos de la sociedad civil, de carácter consultivo, conformados acorde lo establecido en el artículo 74 del decreto con fuerza de ley N° 1-19.653, de 2000, del Ministerio Secretaría General de la Presidencia.</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Toda información deberá ser proporcionada en formato digital, legible y procesable, que no consista solamente en imagen de la respectiva documentación, desagregada por sexo, cuando corresponda. Asimismo, todo deber de información que no señale una fecha de entrega deberá ser cumplido antes del comienzo de la tramitación de la Ley de Presupuestos del Sector Público para el año siguiente.</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información que, de acuerdo con lo establecido en esta ley, deba ser remitida a cualquiera de las comisiones de la Cámara de Diputados o del Senado, se entenderá que debe ser remitida</w:t>
      </w:r>
      <w:r w:rsidR="00996AEE">
        <w:rPr>
          <w:rFonts w:ascii="Verdana" w:hAnsi="Verdana"/>
          <w:lang w:val="es-CL"/>
        </w:rPr>
        <w:t xml:space="preserve"> </w:t>
      </w:r>
      <w:r w:rsidRPr="00246BDB">
        <w:rPr>
          <w:rFonts w:ascii="Verdana" w:hAnsi="Verdana"/>
          <w:lang w:val="es-CL"/>
        </w:rPr>
        <w:t>también a la Comisión Especial Mixta de Presupuestos. La Cámara de Diputados y el Senado deberán disponer en un repositorio electrónico de acceso público la información remitida de acuerdo con lo establecido en esta ley. Para tal efecto, se podrá disponer de una plataforma web, a través de la cual las instituciones públicas incluidas en la presente ley deberán disponer la respectiva información.</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Sin perjuicio de lo anterior, la Comisión Especial Mixta de Presupuestos deberá remitir la información que le corresponda recibir a las comisiones permanentes de la Cámara de Diputados y del Senado cuyas materias de competencia se relacionen con la Partida respectiva, dentro del plazo</w:t>
      </w:r>
      <w:r w:rsidR="00996AEE">
        <w:rPr>
          <w:rFonts w:ascii="Verdana" w:hAnsi="Verdana"/>
          <w:lang w:val="es-CL"/>
        </w:rPr>
        <w:t xml:space="preserve"> </w:t>
      </w:r>
      <w:r w:rsidRPr="00246BDB">
        <w:rPr>
          <w:rFonts w:ascii="Verdana" w:hAnsi="Verdana"/>
          <w:lang w:val="es-CL"/>
        </w:rPr>
        <w:t>de treinta días contado desde su recepción.</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La información que se remita de acuerdo a lo establecido en el presente artículo deberá considerar las particularidades, condiciones y desagregación vigente en la Ley de Presupuestos.</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Para dar cumplimiento a lo señalado en este artículo, la información indicada deberá ser puesta a disposición por los organismos correspondientes de conformidad a las instrucciones impartidas para tal efecto por la Dirección de Presupuestos.</w:t>
      </w:r>
    </w:p>
    <w:p w:rsidR="00996AEE" w:rsidRPr="00246BDB" w:rsidRDefault="00996AEE" w:rsidP="00246BDB">
      <w:pPr>
        <w:tabs>
          <w:tab w:val="left" w:pos="142"/>
        </w:tabs>
        <w:ind w:right="902"/>
        <w:jc w:val="both"/>
        <w:rPr>
          <w:rFonts w:ascii="Verdana" w:hAnsi="Verdana"/>
          <w:lang w:val="es-CL"/>
        </w:rPr>
      </w:pPr>
    </w:p>
    <w:p w:rsidR="00246BDB" w:rsidRDefault="00246BDB" w:rsidP="00CF6A3E">
      <w:pPr>
        <w:tabs>
          <w:tab w:val="left" w:pos="142"/>
        </w:tabs>
        <w:ind w:right="49"/>
        <w:jc w:val="both"/>
        <w:rPr>
          <w:rFonts w:ascii="Verdana" w:hAnsi="Verdana"/>
          <w:lang w:val="es-CL"/>
        </w:rPr>
      </w:pPr>
      <w:r w:rsidRPr="00246BDB">
        <w:rPr>
          <w:rFonts w:ascii="Verdana" w:hAnsi="Verdana"/>
          <w:lang w:val="es-CL"/>
        </w:rPr>
        <w:t>Asimismo, los organismos públicos obligados a remitir la información señalada en el presente artículo deberán ponerla a disposición en los sitios electrónicos en los que dan cumplimiento a las obligaciones de transparencia activa. La omisión de la publicación en la forma señalada o su falta de actualización podrá reclamarse en conformidad con lo dispuesto en el artículo 8 de la Ley de Transparencia de la Función Pública y de Acceso a la Información de la Administración del Estado, contenida en el artículo primero de la ley N° 20.285, sobre Acceso a la Información Pública.</w:t>
      </w:r>
    </w:p>
    <w:p w:rsidR="00246BDB" w:rsidRDefault="00246BDB" w:rsidP="00CD2EF1">
      <w:pPr>
        <w:tabs>
          <w:tab w:val="left" w:pos="142"/>
        </w:tabs>
        <w:ind w:right="902"/>
        <w:jc w:val="both"/>
        <w:rPr>
          <w:rFonts w:ascii="Verdana" w:hAnsi="Verdana"/>
          <w:lang w:val="es-CL"/>
        </w:rPr>
      </w:pPr>
    </w:p>
    <w:p w:rsidR="00996AEE" w:rsidRDefault="004A23F9" w:rsidP="00CD2EF1">
      <w:pPr>
        <w:tabs>
          <w:tab w:val="left" w:pos="142"/>
        </w:tabs>
        <w:ind w:right="902"/>
        <w:jc w:val="both"/>
        <w:rPr>
          <w:rFonts w:ascii="Verdana" w:hAnsi="Verdana"/>
          <w:lang w:val="es-CL"/>
        </w:rPr>
      </w:pPr>
      <w:r>
        <w:rPr>
          <w:rFonts w:ascii="Verdana" w:hAnsi="Verdana"/>
          <w:lang w:val="es-CL"/>
        </w:rPr>
        <w:t>Se adjunta Minuta.</w:t>
      </w:r>
    </w:p>
    <w:p w:rsidR="00996AEE" w:rsidRDefault="00996AEE" w:rsidP="00CD2EF1">
      <w:pPr>
        <w:tabs>
          <w:tab w:val="left" w:pos="142"/>
        </w:tabs>
        <w:ind w:right="902"/>
        <w:jc w:val="both"/>
        <w:rPr>
          <w:rFonts w:ascii="Verdana" w:hAnsi="Verdana"/>
          <w:lang w:val="es-CL"/>
        </w:rPr>
      </w:pPr>
    </w:p>
    <w:p w:rsidR="004A23F9" w:rsidRDefault="004A23F9" w:rsidP="00CD2EF1">
      <w:pPr>
        <w:tabs>
          <w:tab w:val="left" w:pos="142"/>
        </w:tabs>
        <w:ind w:right="902"/>
        <w:jc w:val="both"/>
        <w:rPr>
          <w:rFonts w:ascii="Verdana" w:hAnsi="Verdana"/>
          <w:lang w:val="es-CL"/>
        </w:rPr>
      </w:pPr>
    </w:p>
    <w:p w:rsidR="004A23F9" w:rsidRDefault="004A23F9" w:rsidP="00CD2EF1">
      <w:pPr>
        <w:tabs>
          <w:tab w:val="left" w:pos="142"/>
        </w:tabs>
        <w:ind w:right="902"/>
        <w:jc w:val="both"/>
        <w:rPr>
          <w:rFonts w:ascii="Verdana" w:hAnsi="Verdana"/>
          <w:lang w:val="es-CL"/>
        </w:rPr>
      </w:pPr>
    </w:p>
    <w:p w:rsidR="004A23F9" w:rsidRDefault="004A23F9" w:rsidP="00CD2EF1">
      <w:pPr>
        <w:tabs>
          <w:tab w:val="left" w:pos="142"/>
        </w:tabs>
        <w:ind w:right="902"/>
        <w:jc w:val="both"/>
        <w:rPr>
          <w:rFonts w:ascii="Verdana" w:hAnsi="Verdana"/>
          <w:lang w:val="es-CL"/>
        </w:rPr>
      </w:pPr>
    </w:p>
    <w:p w:rsidR="004A23F9" w:rsidRDefault="004A23F9" w:rsidP="00CD2EF1">
      <w:pPr>
        <w:tabs>
          <w:tab w:val="left" w:pos="142"/>
        </w:tabs>
        <w:ind w:right="902"/>
        <w:jc w:val="both"/>
        <w:rPr>
          <w:rFonts w:ascii="Verdana" w:hAnsi="Verdana"/>
          <w:lang w:val="es-CL"/>
        </w:rPr>
      </w:pPr>
    </w:p>
    <w:p w:rsidR="004A23F9" w:rsidRDefault="004A23F9" w:rsidP="00CD2EF1">
      <w:pPr>
        <w:tabs>
          <w:tab w:val="left" w:pos="142"/>
        </w:tabs>
        <w:ind w:right="902"/>
        <w:jc w:val="both"/>
        <w:rPr>
          <w:rFonts w:ascii="Verdana" w:hAnsi="Verdana"/>
          <w:lang w:val="es-CL"/>
        </w:rPr>
      </w:pPr>
    </w:p>
    <w:p w:rsidR="004A23F9" w:rsidRDefault="004A23F9" w:rsidP="00CD2EF1">
      <w:pPr>
        <w:tabs>
          <w:tab w:val="left" w:pos="142"/>
        </w:tabs>
        <w:ind w:right="902"/>
        <w:jc w:val="both"/>
        <w:rPr>
          <w:rFonts w:ascii="Verdana" w:hAnsi="Verdana"/>
          <w:lang w:val="es-CL"/>
        </w:rPr>
      </w:pPr>
    </w:p>
    <w:p w:rsidR="004A23F9" w:rsidRDefault="004A23F9" w:rsidP="00CD2EF1">
      <w:pPr>
        <w:tabs>
          <w:tab w:val="left" w:pos="142"/>
        </w:tabs>
        <w:ind w:right="902"/>
        <w:jc w:val="both"/>
        <w:rPr>
          <w:rFonts w:ascii="Verdana" w:hAnsi="Verdana"/>
          <w:lang w:val="es-CL"/>
        </w:rPr>
      </w:pPr>
    </w:p>
    <w:p w:rsidR="00996AEE" w:rsidRDefault="00996AEE" w:rsidP="00CD2EF1">
      <w:pPr>
        <w:tabs>
          <w:tab w:val="left" w:pos="142"/>
        </w:tabs>
        <w:ind w:right="902"/>
        <w:jc w:val="both"/>
        <w:rPr>
          <w:rFonts w:ascii="Verdana" w:hAnsi="Verdana"/>
          <w:lang w:val="es-CL"/>
        </w:rPr>
      </w:pPr>
    </w:p>
    <w:p w:rsidR="00996AEE" w:rsidRDefault="00996AEE" w:rsidP="00CD2EF1">
      <w:pPr>
        <w:tabs>
          <w:tab w:val="left" w:pos="142"/>
        </w:tabs>
        <w:ind w:right="902"/>
        <w:jc w:val="both"/>
        <w:rPr>
          <w:rFonts w:ascii="Verdana" w:hAnsi="Verdana"/>
          <w:lang w:val="es-CL"/>
        </w:rPr>
      </w:pPr>
    </w:p>
    <w:p w:rsidR="00996AEE" w:rsidRDefault="00996AEE" w:rsidP="00CD2EF1">
      <w:pPr>
        <w:tabs>
          <w:tab w:val="left" w:pos="142"/>
        </w:tabs>
        <w:ind w:right="902"/>
        <w:jc w:val="both"/>
        <w:rPr>
          <w:rFonts w:ascii="Verdana" w:hAnsi="Verdana"/>
          <w:lang w:val="es-CL"/>
        </w:rPr>
      </w:pPr>
    </w:p>
    <w:p w:rsidR="00996AEE" w:rsidRPr="00184350" w:rsidRDefault="00996AEE" w:rsidP="00996AEE">
      <w:pPr>
        <w:tabs>
          <w:tab w:val="left" w:pos="142"/>
        </w:tabs>
        <w:ind w:right="902"/>
        <w:jc w:val="both"/>
        <w:rPr>
          <w:rFonts w:ascii="Verdana" w:hAnsi="Verdana"/>
          <w:b/>
          <w:lang w:val="es-CL"/>
        </w:rPr>
      </w:pPr>
      <w:r w:rsidRPr="00184350">
        <w:rPr>
          <w:rFonts w:ascii="Verdana" w:hAnsi="Verdana"/>
          <w:b/>
          <w:lang w:val="es-CL"/>
        </w:rPr>
        <w:lastRenderedPageBreak/>
        <w:t xml:space="preserve">GLOSAS </w:t>
      </w:r>
      <w:r w:rsidR="009621F5">
        <w:rPr>
          <w:rFonts w:ascii="Verdana" w:hAnsi="Verdana"/>
          <w:b/>
          <w:lang w:val="es-CL"/>
        </w:rPr>
        <w:t>MOP</w:t>
      </w:r>
    </w:p>
    <w:p w:rsidR="00996AEE" w:rsidRPr="00184350" w:rsidRDefault="00996AEE" w:rsidP="00996AEE">
      <w:pPr>
        <w:tabs>
          <w:tab w:val="left" w:pos="142"/>
        </w:tabs>
        <w:ind w:right="902"/>
        <w:jc w:val="both"/>
        <w:rPr>
          <w:rFonts w:ascii="Verdana" w:hAnsi="Verdana"/>
          <w:lang w:val="es-CL"/>
        </w:rPr>
      </w:pPr>
    </w:p>
    <w:p w:rsidR="00996AEE" w:rsidRDefault="00996AEE" w:rsidP="00996AEE">
      <w:pPr>
        <w:tabs>
          <w:tab w:val="left" w:pos="142"/>
        </w:tabs>
        <w:ind w:right="902"/>
        <w:jc w:val="both"/>
        <w:rPr>
          <w:rFonts w:ascii="Verdana" w:hAnsi="Verdana"/>
          <w:lang w:val="es-CL"/>
        </w:rPr>
      </w:pPr>
      <w:r w:rsidRPr="00184350">
        <w:rPr>
          <w:rFonts w:ascii="Verdana" w:hAnsi="Verdana"/>
          <w:b/>
          <w:lang w:val="es-CL"/>
        </w:rPr>
        <w:t>Glosa 0</w:t>
      </w:r>
      <w:r w:rsidR="009621F5">
        <w:rPr>
          <w:rFonts w:ascii="Verdana" w:hAnsi="Verdana"/>
          <w:b/>
          <w:lang w:val="es-CL"/>
        </w:rPr>
        <w:t>9</w:t>
      </w:r>
      <w:r w:rsidRPr="00184350">
        <w:rPr>
          <w:rFonts w:ascii="Verdana" w:hAnsi="Verdana"/>
          <w:b/>
          <w:lang w:val="es-CL"/>
        </w:rPr>
        <w:t>:</w:t>
      </w:r>
    </w:p>
    <w:p w:rsidR="00996AEE" w:rsidRDefault="00996AEE" w:rsidP="00CD2EF1">
      <w:pPr>
        <w:tabs>
          <w:tab w:val="left" w:pos="142"/>
        </w:tabs>
        <w:ind w:right="902"/>
        <w:jc w:val="both"/>
        <w:rPr>
          <w:rFonts w:ascii="Verdana" w:hAnsi="Verdana"/>
          <w:lang w:val="es-CL"/>
        </w:rPr>
      </w:pPr>
    </w:p>
    <w:p w:rsidR="00996AEE" w:rsidRDefault="00CF6A3E" w:rsidP="00CF6A3E">
      <w:pPr>
        <w:tabs>
          <w:tab w:val="left" w:pos="142"/>
        </w:tabs>
        <w:ind w:right="49"/>
        <w:jc w:val="both"/>
        <w:rPr>
          <w:rFonts w:ascii="Verdana" w:hAnsi="Verdana"/>
          <w:lang w:val="es-CL"/>
        </w:rPr>
      </w:pPr>
      <w:r w:rsidRPr="00CF6A3E">
        <w:rPr>
          <w:rFonts w:ascii="Verdana" w:hAnsi="Verdana"/>
          <w:lang w:val="es-CL"/>
        </w:rPr>
        <w:t>Los Servicios de este Ministerio, según corresponda, informarán trimestralmente</w:t>
      </w:r>
      <w:r>
        <w:rPr>
          <w:rFonts w:ascii="Verdana" w:hAnsi="Verdana"/>
          <w:lang w:val="es-CL"/>
        </w:rPr>
        <w:t xml:space="preserve"> </w:t>
      </w:r>
      <w:r w:rsidRPr="00CF6A3E">
        <w:rPr>
          <w:rFonts w:ascii="Verdana" w:hAnsi="Verdana"/>
          <w:lang w:val="es-CL"/>
        </w:rPr>
        <w:t>a la Comisión Especial Mixta de Presupuestos y a la Comisión de Medio Ambiente y</w:t>
      </w:r>
      <w:r>
        <w:rPr>
          <w:rFonts w:ascii="Verdana" w:hAnsi="Verdana"/>
          <w:lang w:val="es-CL"/>
        </w:rPr>
        <w:t xml:space="preserve"> </w:t>
      </w:r>
      <w:r w:rsidRPr="00CF6A3E">
        <w:rPr>
          <w:rFonts w:ascii="Verdana" w:hAnsi="Verdana"/>
          <w:lang w:val="es-CL"/>
        </w:rPr>
        <w:t>Recursos Naturales de la Cámara de Diputados, sobre los volúmenes de residuos,</w:t>
      </w:r>
      <w:r>
        <w:rPr>
          <w:rFonts w:ascii="Verdana" w:hAnsi="Verdana"/>
          <w:lang w:val="es-CL"/>
        </w:rPr>
        <w:t xml:space="preserve"> </w:t>
      </w:r>
      <w:r w:rsidRPr="00CF6A3E">
        <w:rPr>
          <w:rFonts w:ascii="Verdana" w:hAnsi="Verdana"/>
          <w:lang w:val="es-CL"/>
        </w:rPr>
        <w:t>tierra y/o escombros asociados a los certificados de destino final que deben</w:t>
      </w:r>
      <w:r>
        <w:rPr>
          <w:rFonts w:ascii="Verdana" w:hAnsi="Verdana"/>
          <w:lang w:val="es-CL"/>
        </w:rPr>
        <w:t xml:space="preserve"> </w:t>
      </w:r>
      <w:r w:rsidRPr="00CF6A3E">
        <w:rPr>
          <w:rFonts w:ascii="Verdana" w:hAnsi="Verdana"/>
          <w:lang w:val="es-CL"/>
        </w:rPr>
        <w:t>entregarse producto de los contratos de obras financiados por el Ministerio que</w:t>
      </w:r>
      <w:r>
        <w:rPr>
          <w:rFonts w:ascii="Verdana" w:hAnsi="Verdana"/>
          <w:lang w:val="es-CL"/>
        </w:rPr>
        <w:t xml:space="preserve"> </w:t>
      </w:r>
      <w:r w:rsidRPr="00CF6A3E">
        <w:rPr>
          <w:rFonts w:ascii="Verdana" w:hAnsi="Verdana"/>
          <w:lang w:val="es-CL"/>
        </w:rPr>
        <w:t>sean ejecutados por terceros, contratistas o subcontratistas, incluyendo</w:t>
      </w:r>
      <w:r>
        <w:rPr>
          <w:rFonts w:ascii="Verdana" w:hAnsi="Verdana"/>
          <w:lang w:val="es-CL"/>
        </w:rPr>
        <w:t xml:space="preserve"> </w:t>
      </w:r>
      <w:r w:rsidRPr="00CF6A3E">
        <w:rPr>
          <w:rFonts w:ascii="Verdana" w:hAnsi="Verdana"/>
          <w:lang w:val="es-CL"/>
        </w:rPr>
        <w:t>aquellos generados en la ejecución de los contratos de concesiones de obras</w:t>
      </w:r>
      <w:r>
        <w:rPr>
          <w:rFonts w:ascii="Verdana" w:hAnsi="Verdana"/>
          <w:lang w:val="es-CL"/>
        </w:rPr>
        <w:t xml:space="preserve"> </w:t>
      </w:r>
      <w:r w:rsidRPr="00CF6A3E">
        <w:rPr>
          <w:rFonts w:ascii="Verdana" w:hAnsi="Verdana"/>
          <w:lang w:val="es-CL"/>
        </w:rPr>
        <w:t>públicas. Esta información se entregará por contrato, con los respectivos</w:t>
      </w:r>
      <w:r>
        <w:rPr>
          <w:rFonts w:ascii="Verdana" w:hAnsi="Verdana"/>
          <w:lang w:val="es-CL"/>
        </w:rPr>
        <w:t xml:space="preserve"> </w:t>
      </w:r>
      <w:r w:rsidRPr="00CF6A3E">
        <w:rPr>
          <w:rFonts w:ascii="Verdana" w:hAnsi="Verdana"/>
          <w:lang w:val="es-CL"/>
        </w:rPr>
        <w:t>certificados de destino final, debiendo los receptores estar autorizados</w:t>
      </w:r>
      <w:r>
        <w:rPr>
          <w:rFonts w:ascii="Verdana" w:hAnsi="Verdana"/>
          <w:lang w:val="es-CL"/>
        </w:rPr>
        <w:t xml:space="preserve"> </w:t>
      </w:r>
      <w:r w:rsidRPr="00CF6A3E">
        <w:rPr>
          <w:rFonts w:ascii="Verdana" w:hAnsi="Verdana"/>
          <w:lang w:val="es-CL"/>
        </w:rPr>
        <w:t>debidamente por el Ministerio de Salud seg</w:t>
      </w:r>
      <w:r>
        <w:rPr>
          <w:rFonts w:ascii="Verdana" w:hAnsi="Verdana"/>
          <w:lang w:val="es-CL"/>
        </w:rPr>
        <w:t>ún las normas legales vigentes.</w:t>
      </w:r>
    </w:p>
    <w:p w:rsidR="009621F5" w:rsidRDefault="009621F5" w:rsidP="009621F5">
      <w:pPr>
        <w:tabs>
          <w:tab w:val="left" w:pos="142"/>
        </w:tabs>
        <w:ind w:right="902"/>
        <w:jc w:val="both"/>
        <w:rPr>
          <w:rFonts w:ascii="Verdana" w:hAnsi="Verdana"/>
          <w:lang w:val="es-CL"/>
        </w:rPr>
      </w:pPr>
    </w:p>
    <w:p w:rsidR="009621F5" w:rsidRDefault="004A23F9" w:rsidP="009621F5">
      <w:pPr>
        <w:tabs>
          <w:tab w:val="left" w:pos="142"/>
        </w:tabs>
        <w:ind w:right="902"/>
        <w:jc w:val="both"/>
        <w:rPr>
          <w:rFonts w:ascii="Verdana" w:hAnsi="Verdana"/>
          <w:lang w:val="es-CL"/>
        </w:rPr>
      </w:pPr>
      <w:r w:rsidRPr="004A23F9">
        <w:rPr>
          <w:rFonts w:ascii="Verdana" w:hAnsi="Verdana"/>
          <w:lang w:val="es-CL"/>
        </w:rPr>
        <w:t>Será respondido por la Dirección General de Obras Públicas.</w:t>
      </w:r>
    </w:p>
    <w:p w:rsidR="009621F5" w:rsidRDefault="009621F5" w:rsidP="009621F5">
      <w:pPr>
        <w:tabs>
          <w:tab w:val="left" w:pos="142"/>
        </w:tabs>
        <w:ind w:right="902"/>
        <w:jc w:val="both"/>
        <w:rPr>
          <w:rFonts w:ascii="Verdana" w:hAnsi="Verdana"/>
          <w:lang w:val="es-CL"/>
        </w:rPr>
      </w:pPr>
    </w:p>
    <w:p w:rsidR="00996AEE" w:rsidRPr="009621F5" w:rsidRDefault="009621F5" w:rsidP="00CD2EF1">
      <w:pPr>
        <w:tabs>
          <w:tab w:val="left" w:pos="142"/>
        </w:tabs>
        <w:ind w:right="902"/>
        <w:jc w:val="both"/>
        <w:rPr>
          <w:rFonts w:ascii="Verdana" w:hAnsi="Verdana"/>
          <w:b/>
          <w:lang w:val="es-CL"/>
        </w:rPr>
      </w:pPr>
      <w:r w:rsidRPr="009621F5">
        <w:rPr>
          <w:rFonts w:ascii="Verdana" w:hAnsi="Verdana"/>
          <w:b/>
          <w:lang w:val="es-CL"/>
        </w:rPr>
        <w:t>Glosa 11:</w:t>
      </w:r>
    </w:p>
    <w:p w:rsidR="009621F5" w:rsidRDefault="009621F5" w:rsidP="00CD2EF1">
      <w:pPr>
        <w:tabs>
          <w:tab w:val="left" w:pos="142"/>
        </w:tabs>
        <w:ind w:right="902"/>
        <w:jc w:val="both"/>
        <w:rPr>
          <w:rFonts w:ascii="Verdana" w:hAnsi="Verdana"/>
          <w:lang w:val="es-CL"/>
        </w:rPr>
      </w:pPr>
    </w:p>
    <w:p w:rsidR="009621F5" w:rsidRPr="004A23F9" w:rsidRDefault="009621F5" w:rsidP="00CF6A3E">
      <w:pPr>
        <w:tabs>
          <w:tab w:val="left" w:pos="142"/>
        </w:tabs>
        <w:ind w:right="49"/>
        <w:jc w:val="both"/>
        <w:rPr>
          <w:rFonts w:ascii="Verdana" w:hAnsi="Verdana"/>
          <w:lang w:val="es-CL"/>
        </w:rPr>
      </w:pPr>
      <w:r w:rsidRPr="009621F5">
        <w:rPr>
          <w:rFonts w:ascii="Verdana" w:hAnsi="Verdana"/>
          <w:lang w:val="es-CL"/>
        </w:rPr>
        <w:t>Trimestralmente el Ministerio de Obras Públicas informará a la Comisión Especial</w:t>
      </w:r>
      <w:r>
        <w:rPr>
          <w:rFonts w:ascii="Verdana" w:hAnsi="Verdana"/>
          <w:lang w:val="es-CL"/>
        </w:rPr>
        <w:t xml:space="preserve"> </w:t>
      </w:r>
      <w:r w:rsidRPr="009621F5">
        <w:rPr>
          <w:rFonts w:ascii="Verdana" w:hAnsi="Verdana"/>
          <w:lang w:val="es-CL"/>
        </w:rPr>
        <w:t>Mixta de Presupuestos, a la Comisión de Obras Públicas, Transportes y</w:t>
      </w:r>
      <w:r>
        <w:rPr>
          <w:rFonts w:ascii="Verdana" w:hAnsi="Verdana"/>
          <w:lang w:val="es-CL"/>
        </w:rPr>
        <w:t xml:space="preserve"> </w:t>
      </w:r>
      <w:r w:rsidRPr="009621F5">
        <w:rPr>
          <w:rFonts w:ascii="Verdana" w:hAnsi="Verdana"/>
          <w:lang w:val="es-CL"/>
        </w:rPr>
        <w:t>Telecomunicaciones de la Cámara de Diputados y a la Comisión de Obras Públicas</w:t>
      </w:r>
      <w:r>
        <w:rPr>
          <w:rFonts w:ascii="Verdana" w:hAnsi="Verdana"/>
          <w:lang w:val="es-CL"/>
        </w:rPr>
        <w:t xml:space="preserve"> </w:t>
      </w:r>
      <w:r w:rsidRPr="009621F5">
        <w:rPr>
          <w:rFonts w:ascii="Verdana" w:hAnsi="Verdana"/>
          <w:lang w:val="es-CL"/>
        </w:rPr>
        <w:t>del Senado, la ejecución del Ministerio de Obras Públicas regionalizada, según</w:t>
      </w:r>
      <w:r>
        <w:rPr>
          <w:rFonts w:ascii="Verdana" w:hAnsi="Verdana"/>
          <w:lang w:val="es-CL"/>
        </w:rPr>
        <w:t xml:space="preserve"> </w:t>
      </w:r>
      <w:r w:rsidRPr="004A23F9">
        <w:rPr>
          <w:rFonts w:ascii="Verdana" w:hAnsi="Verdana"/>
          <w:lang w:val="es-CL"/>
        </w:rPr>
        <w:t>subtítulos y por cada uno de los programas presupuestarios de esta partida.</w:t>
      </w:r>
    </w:p>
    <w:p w:rsidR="009621F5" w:rsidRPr="004A23F9" w:rsidRDefault="009621F5" w:rsidP="009621F5">
      <w:pPr>
        <w:tabs>
          <w:tab w:val="left" w:pos="142"/>
        </w:tabs>
        <w:ind w:right="902"/>
        <w:jc w:val="both"/>
        <w:rPr>
          <w:rFonts w:ascii="Verdana" w:hAnsi="Verdana"/>
          <w:lang w:val="es-CL"/>
        </w:rPr>
      </w:pPr>
    </w:p>
    <w:p w:rsidR="009621F5" w:rsidRPr="004A23F9" w:rsidRDefault="004A23F9" w:rsidP="009621F5">
      <w:pPr>
        <w:tabs>
          <w:tab w:val="left" w:pos="142"/>
        </w:tabs>
        <w:ind w:right="902"/>
        <w:jc w:val="both"/>
        <w:rPr>
          <w:rFonts w:ascii="Verdana" w:hAnsi="Verdana"/>
          <w:lang w:val="es-CL"/>
        </w:rPr>
      </w:pPr>
      <w:r w:rsidRPr="004A23F9">
        <w:rPr>
          <w:rFonts w:ascii="Verdana" w:hAnsi="Verdana"/>
          <w:lang w:val="es-CL"/>
        </w:rPr>
        <w:t>Será respondido por las Direcciones de Planeamiento y DC y F.</w:t>
      </w:r>
    </w:p>
    <w:p w:rsidR="009621F5" w:rsidRPr="004A23F9" w:rsidRDefault="009621F5" w:rsidP="00CD2EF1">
      <w:pPr>
        <w:tabs>
          <w:tab w:val="left" w:pos="142"/>
        </w:tabs>
        <w:ind w:right="902"/>
        <w:jc w:val="both"/>
        <w:rPr>
          <w:rFonts w:ascii="Verdana" w:hAnsi="Verdana"/>
          <w:lang w:val="es-CL"/>
        </w:rPr>
      </w:pPr>
    </w:p>
    <w:p w:rsidR="009621F5" w:rsidRDefault="009621F5" w:rsidP="00CD2EF1">
      <w:pPr>
        <w:tabs>
          <w:tab w:val="left" w:pos="142"/>
        </w:tabs>
        <w:ind w:right="902"/>
        <w:jc w:val="both"/>
        <w:rPr>
          <w:rFonts w:ascii="Verdana" w:hAnsi="Verdana"/>
          <w:lang w:val="es-CL"/>
        </w:rPr>
      </w:pPr>
      <w:r w:rsidRPr="009621F5">
        <w:rPr>
          <w:rFonts w:ascii="Verdana" w:hAnsi="Verdana"/>
          <w:b/>
          <w:lang w:val="es-CL"/>
        </w:rPr>
        <w:t>Glosa 1</w:t>
      </w:r>
      <w:r>
        <w:rPr>
          <w:rFonts w:ascii="Verdana" w:hAnsi="Verdana"/>
          <w:b/>
          <w:lang w:val="es-CL"/>
        </w:rPr>
        <w:t>6</w:t>
      </w:r>
      <w:r w:rsidRPr="009621F5">
        <w:rPr>
          <w:rFonts w:ascii="Verdana" w:hAnsi="Verdana"/>
          <w:b/>
          <w:lang w:val="es-CL"/>
        </w:rPr>
        <w:t>:</w:t>
      </w:r>
    </w:p>
    <w:p w:rsidR="009621F5" w:rsidRDefault="009621F5" w:rsidP="00CD2EF1">
      <w:pPr>
        <w:tabs>
          <w:tab w:val="left" w:pos="142"/>
        </w:tabs>
        <w:ind w:right="902"/>
        <w:jc w:val="both"/>
        <w:rPr>
          <w:rFonts w:ascii="Verdana" w:hAnsi="Verdana"/>
          <w:lang w:val="es-CL"/>
        </w:rPr>
      </w:pPr>
    </w:p>
    <w:p w:rsidR="009621F5" w:rsidRPr="004A23F9" w:rsidRDefault="009621F5" w:rsidP="00CF6A3E">
      <w:pPr>
        <w:tabs>
          <w:tab w:val="left" w:pos="142"/>
        </w:tabs>
        <w:ind w:right="49"/>
        <w:jc w:val="both"/>
        <w:rPr>
          <w:rFonts w:ascii="Verdana" w:hAnsi="Verdana"/>
          <w:lang w:val="es-CL"/>
        </w:rPr>
      </w:pPr>
      <w:r w:rsidRPr="009621F5">
        <w:rPr>
          <w:rFonts w:ascii="Verdana" w:hAnsi="Verdana"/>
          <w:lang w:val="es-CL"/>
        </w:rPr>
        <w:t>Se informará trimestralmente a la Cámara de Diputados sobre los avances en la</w:t>
      </w:r>
      <w:r>
        <w:rPr>
          <w:rFonts w:ascii="Verdana" w:hAnsi="Verdana"/>
          <w:lang w:val="es-CL"/>
        </w:rPr>
        <w:t xml:space="preserve"> </w:t>
      </w:r>
      <w:r w:rsidRPr="004A23F9">
        <w:rPr>
          <w:rFonts w:ascii="Verdana" w:hAnsi="Verdana"/>
          <w:lang w:val="es-CL"/>
        </w:rPr>
        <w:t>planificación, acciones y desarrollo de las inversiones y proyectos destinados exclusivamente al Plan Bicentenario de Chiloé que se conmemorará el año 2026.</w:t>
      </w:r>
      <w:r w:rsidRPr="004A23F9">
        <w:rPr>
          <w:rFonts w:ascii="Verdana" w:hAnsi="Verdana"/>
          <w:lang w:val="es-CL"/>
        </w:rPr>
        <w:cr/>
      </w:r>
    </w:p>
    <w:p w:rsidR="009621F5" w:rsidRPr="004A23F9" w:rsidRDefault="004A23F9" w:rsidP="009621F5">
      <w:pPr>
        <w:tabs>
          <w:tab w:val="left" w:pos="142"/>
        </w:tabs>
        <w:ind w:right="902"/>
        <w:jc w:val="both"/>
        <w:rPr>
          <w:rFonts w:ascii="Verdana" w:hAnsi="Verdana"/>
          <w:lang w:val="es-CL"/>
        </w:rPr>
      </w:pPr>
      <w:r w:rsidRPr="004A23F9">
        <w:rPr>
          <w:rFonts w:ascii="Verdana" w:hAnsi="Verdana"/>
          <w:lang w:val="es-CL"/>
        </w:rPr>
        <w:t>Será respondido por la Dirección de Planeamiento.</w:t>
      </w:r>
    </w:p>
    <w:p w:rsidR="009621F5" w:rsidRPr="004A23F9" w:rsidRDefault="009621F5" w:rsidP="009621F5">
      <w:pPr>
        <w:tabs>
          <w:tab w:val="left" w:pos="142"/>
        </w:tabs>
        <w:ind w:right="902"/>
        <w:jc w:val="both"/>
        <w:rPr>
          <w:rFonts w:ascii="Verdana" w:hAnsi="Verdana"/>
          <w:lang w:val="es-CL"/>
        </w:rPr>
      </w:pPr>
    </w:p>
    <w:p w:rsidR="00E077F9" w:rsidRPr="00184350" w:rsidRDefault="00E077F9" w:rsidP="00CD2EF1">
      <w:pPr>
        <w:tabs>
          <w:tab w:val="left" w:pos="142"/>
        </w:tabs>
        <w:ind w:right="902"/>
        <w:jc w:val="both"/>
        <w:rPr>
          <w:rFonts w:ascii="Verdana" w:hAnsi="Verdana"/>
          <w:b/>
          <w:lang w:val="es-CL"/>
        </w:rPr>
      </w:pPr>
      <w:r w:rsidRPr="00184350">
        <w:rPr>
          <w:rFonts w:ascii="Verdana" w:hAnsi="Verdana"/>
          <w:b/>
          <w:lang w:val="es-CL"/>
        </w:rPr>
        <w:t xml:space="preserve">GLOSAS </w:t>
      </w:r>
      <w:r w:rsidR="000A0E9D">
        <w:rPr>
          <w:rFonts w:ascii="Verdana" w:hAnsi="Verdana"/>
          <w:b/>
          <w:lang w:val="es-CL"/>
        </w:rPr>
        <w:t>SSSR</w:t>
      </w:r>
    </w:p>
    <w:p w:rsidR="00E077F9" w:rsidRPr="00184350" w:rsidRDefault="00E077F9" w:rsidP="00CD2EF1">
      <w:pPr>
        <w:tabs>
          <w:tab w:val="left" w:pos="142"/>
        </w:tabs>
        <w:ind w:right="902"/>
        <w:jc w:val="both"/>
        <w:rPr>
          <w:rFonts w:ascii="Verdana" w:hAnsi="Verdana"/>
          <w:lang w:val="es-CL"/>
        </w:rPr>
      </w:pPr>
    </w:p>
    <w:p w:rsidR="009B5449" w:rsidRPr="00184350" w:rsidRDefault="009B5449" w:rsidP="009B5449">
      <w:pPr>
        <w:tabs>
          <w:tab w:val="left" w:pos="142"/>
        </w:tabs>
        <w:ind w:right="902"/>
        <w:jc w:val="both"/>
        <w:rPr>
          <w:rFonts w:ascii="Verdana" w:hAnsi="Verdana"/>
          <w:b/>
          <w:lang w:val="es-CL"/>
        </w:rPr>
      </w:pPr>
      <w:r w:rsidRPr="00184350">
        <w:rPr>
          <w:rFonts w:ascii="Verdana" w:hAnsi="Verdana"/>
          <w:b/>
          <w:lang w:val="es-CL"/>
        </w:rPr>
        <w:t>Glosa 0</w:t>
      </w:r>
      <w:r w:rsidR="007052DD">
        <w:rPr>
          <w:rFonts w:ascii="Verdana" w:hAnsi="Verdana"/>
          <w:b/>
          <w:lang w:val="es-CL"/>
        </w:rPr>
        <w:t>7</w:t>
      </w:r>
      <w:r w:rsidRPr="00184350">
        <w:rPr>
          <w:rFonts w:ascii="Verdana" w:hAnsi="Verdana"/>
          <w:b/>
          <w:lang w:val="es-CL"/>
        </w:rPr>
        <w:t>:</w:t>
      </w:r>
    </w:p>
    <w:p w:rsidR="009B5449" w:rsidRPr="00184350" w:rsidRDefault="009B5449" w:rsidP="009B5449">
      <w:pPr>
        <w:tabs>
          <w:tab w:val="left" w:pos="142"/>
        </w:tabs>
        <w:ind w:right="902"/>
        <w:jc w:val="both"/>
        <w:rPr>
          <w:rFonts w:ascii="Verdana" w:hAnsi="Verdana"/>
          <w:lang w:val="es-CL"/>
        </w:rPr>
      </w:pPr>
    </w:p>
    <w:p w:rsidR="009B5449" w:rsidRPr="00184350" w:rsidRDefault="007052DD" w:rsidP="007052DD">
      <w:pPr>
        <w:tabs>
          <w:tab w:val="left" w:pos="142"/>
        </w:tabs>
        <w:ind w:right="49"/>
        <w:jc w:val="both"/>
        <w:rPr>
          <w:rFonts w:ascii="Verdana" w:hAnsi="Verdana"/>
          <w:lang w:val="es-CL"/>
        </w:rPr>
      </w:pPr>
      <w:r w:rsidRPr="007052DD">
        <w:rPr>
          <w:rFonts w:ascii="Verdana" w:hAnsi="Verdana"/>
          <w:lang w:val="es-CL"/>
        </w:rPr>
        <w:t>La Subdirección de Servicios Sanitarios Rurales informará trimestralmente a la</w:t>
      </w:r>
      <w:r>
        <w:rPr>
          <w:rFonts w:ascii="Verdana" w:hAnsi="Verdana"/>
          <w:lang w:val="es-CL"/>
        </w:rPr>
        <w:t xml:space="preserve"> </w:t>
      </w:r>
      <w:r w:rsidRPr="007052DD">
        <w:rPr>
          <w:rFonts w:ascii="Verdana" w:hAnsi="Verdana"/>
          <w:lang w:val="es-CL"/>
        </w:rPr>
        <w:t>Comisión de Recursos Hídricos, Desertificación y Sequía del Senado y a la</w:t>
      </w:r>
      <w:r>
        <w:rPr>
          <w:rFonts w:ascii="Verdana" w:hAnsi="Verdana"/>
          <w:lang w:val="es-CL"/>
        </w:rPr>
        <w:t xml:space="preserve"> </w:t>
      </w:r>
      <w:r w:rsidRPr="007052DD">
        <w:rPr>
          <w:rFonts w:ascii="Verdana" w:hAnsi="Verdana"/>
          <w:lang w:val="es-CL"/>
        </w:rPr>
        <w:t>Comisión de Recursos Hídricos y Desertificación de la Cámara de Diputados, las</w:t>
      </w:r>
      <w:r>
        <w:rPr>
          <w:rFonts w:ascii="Verdana" w:hAnsi="Verdana"/>
          <w:lang w:val="es-CL"/>
        </w:rPr>
        <w:t xml:space="preserve"> </w:t>
      </w:r>
      <w:r w:rsidRPr="007052DD">
        <w:rPr>
          <w:rFonts w:ascii="Verdana" w:hAnsi="Verdana"/>
          <w:lang w:val="es-CL"/>
        </w:rPr>
        <w:t>asesorías y capacitaciones brindadas a los Servicios Sanitarios Rurales por</w:t>
      </w:r>
      <w:r>
        <w:rPr>
          <w:rFonts w:ascii="Verdana" w:hAnsi="Verdana"/>
          <w:lang w:val="es-CL"/>
        </w:rPr>
        <w:t xml:space="preserve"> </w:t>
      </w:r>
      <w:r w:rsidRPr="007052DD">
        <w:rPr>
          <w:rFonts w:ascii="Verdana" w:hAnsi="Verdana"/>
          <w:lang w:val="es-CL"/>
        </w:rPr>
        <w:t>región y provincia, en virtud de la ley 20.998 y la ley 21.520.</w:t>
      </w:r>
    </w:p>
    <w:p w:rsidR="00344751" w:rsidRPr="00184350" w:rsidRDefault="00344751" w:rsidP="00344751">
      <w:pPr>
        <w:tabs>
          <w:tab w:val="left" w:pos="142"/>
        </w:tabs>
        <w:ind w:right="49"/>
        <w:jc w:val="both"/>
        <w:rPr>
          <w:rFonts w:ascii="Verdana" w:hAnsi="Verdana"/>
          <w:lang w:val="es-CL"/>
        </w:rPr>
      </w:pPr>
    </w:p>
    <w:p w:rsidR="00664763" w:rsidRPr="00184350" w:rsidRDefault="004A23F9" w:rsidP="00664763">
      <w:pPr>
        <w:tabs>
          <w:tab w:val="left" w:pos="142"/>
        </w:tabs>
        <w:ind w:right="49"/>
        <w:jc w:val="both"/>
        <w:rPr>
          <w:rFonts w:ascii="Verdana" w:hAnsi="Verdana"/>
          <w:lang w:val="es-CL"/>
        </w:rPr>
      </w:pPr>
      <w:r>
        <w:rPr>
          <w:rFonts w:ascii="Verdana" w:hAnsi="Verdana"/>
          <w:lang w:val="es-CL"/>
        </w:rPr>
        <w:t>Se adjunta Minuta.</w:t>
      </w:r>
    </w:p>
    <w:sectPr w:rsidR="00664763" w:rsidRPr="00184350" w:rsidSect="0019036C">
      <w:headerReference w:type="default" r:id="rId8"/>
      <w:footerReference w:type="default" r:id="rId9"/>
      <w:pgSz w:w="12240" w:h="15840"/>
      <w:pgMar w:top="1134" w:right="1134" w:bottom="1134" w:left="1134" w:header="567"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1A3" w:rsidRDefault="00AB11A3">
      <w:r>
        <w:separator/>
      </w:r>
    </w:p>
  </w:endnote>
  <w:endnote w:type="continuationSeparator" w:id="0">
    <w:p w:rsidR="00AB11A3" w:rsidRDefault="00AB1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ller">
    <w:altName w:val="Malgun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Pr="000845FE" w:rsidRDefault="007211A1" w:rsidP="004924F0">
    <w:pPr>
      <w:ind w:left="227" w:hanging="227"/>
      <w:rPr>
        <w:color w:val="A6A6A6"/>
        <w:sz w:val="14"/>
      </w:rPr>
    </w:pPr>
    <w:r>
      <w:rPr>
        <w:rFonts w:ascii="Aller" w:hAnsi="Aller"/>
        <w:color w:val="1F4887"/>
        <w:sz w:val="16"/>
      </w:rPr>
      <w:t xml:space="preserve">       </w:t>
    </w:r>
  </w:p>
  <w:p w:rsidR="007211A1" w:rsidRDefault="007211A1" w:rsidP="004924F0">
    <w:pPr>
      <w:pStyle w:val="Piedepgina"/>
      <w:ind w:left="142"/>
    </w:pPr>
    <w:r>
      <w:t xml:space="preserve">   </w:t>
    </w:r>
    <w:r>
      <w:rPr>
        <w:noProof/>
        <w:lang w:val="es-CL" w:eastAsia="es-CL"/>
      </w:rPr>
      <w:drawing>
        <wp:inline distT="0" distB="0" distL="0" distR="0" wp14:anchorId="6D3ECE3D" wp14:editId="1D7AFAF7">
          <wp:extent cx="1243965" cy="63500"/>
          <wp:effectExtent l="0" t="0" r="0" b="0"/>
          <wp:docPr id="2" name="Imagen 2" descr="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63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1A3" w:rsidRDefault="00AB11A3">
      <w:r>
        <w:separator/>
      </w:r>
    </w:p>
  </w:footnote>
  <w:footnote w:type="continuationSeparator" w:id="0">
    <w:p w:rsidR="00AB11A3" w:rsidRDefault="00AB1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A1" w:rsidRDefault="007211A1" w:rsidP="004924F0">
    <w:pPr>
      <w:pStyle w:val="Encabezado"/>
      <w:ind w:left="4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86E25"/>
    <w:multiLevelType w:val="hybridMultilevel"/>
    <w:tmpl w:val="D9F4045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2875530C"/>
    <w:multiLevelType w:val="hybridMultilevel"/>
    <w:tmpl w:val="18B42F5E"/>
    <w:lvl w:ilvl="0" w:tplc="120821FC">
      <w:start w:val="3"/>
      <w:numFmt w:val="lowerRoman"/>
      <w:lvlText w:val="%1)"/>
      <w:lvlJc w:val="left"/>
      <w:pPr>
        <w:ind w:left="1997"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36D8460A"/>
    <w:multiLevelType w:val="hybridMultilevel"/>
    <w:tmpl w:val="B42A47E2"/>
    <w:lvl w:ilvl="0" w:tplc="C31A6DE6">
      <w:start w:val="1"/>
      <w:numFmt w:val="lowerRoman"/>
      <w:lvlText w:val="%1)"/>
      <w:lvlJc w:val="left"/>
      <w:pPr>
        <w:ind w:left="1080" w:hanging="72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683E53AF"/>
    <w:multiLevelType w:val="hybridMultilevel"/>
    <w:tmpl w:val="5560C1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71186A43"/>
    <w:multiLevelType w:val="hybridMultilevel"/>
    <w:tmpl w:val="81C014A8"/>
    <w:lvl w:ilvl="0" w:tplc="1D521C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721A10EE"/>
    <w:multiLevelType w:val="hybridMultilevel"/>
    <w:tmpl w:val="1FD0B7F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7B0665E2"/>
    <w:multiLevelType w:val="hybridMultilevel"/>
    <w:tmpl w:val="BF60761C"/>
    <w:lvl w:ilvl="0" w:tplc="EAB856A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7B9C755F"/>
    <w:multiLevelType w:val="hybridMultilevel"/>
    <w:tmpl w:val="05CE0F1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7BB47B75"/>
    <w:multiLevelType w:val="hybridMultilevel"/>
    <w:tmpl w:val="C422E97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8"/>
  </w:num>
  <w:num w:numId="6">
    <w:abstractNumId w:val="3"/>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pt-BR" w:vendorID="64" w:dllVersion="131078" w:nlCheck="1" w:checkStyle="0"/>
  <w:activeWritingStyle w:appName="MSWord" w:lang="es-CL"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F3"/>
    <w:rsid w:val="00004DCA"/>
    <w:rsid w:val="000110AF"/>
    <w:rsid w:val="000144A8"/>
    <w:rsid w:val="0002645D"/>
    <w:rsid w:val="000419D0"/>
    <w:rsid w:val="000518AA"/>
    <w:rsid w:val="0006266D"/>
    <w:rsid w:val="00062C54"/>
    <w:rsid w:val="00065B96"/>
    <w:rsid w:val="000A0E9D"/>
    <w:rsid w:val="000B315C"/>
    <w:rsid w:val="000B5B4A"/>
    <w:rsid w:val="000C609C"/>
    <w:rsid w:val="000D1247"/>
    <w:rsid w:val="000D1714"/>
    <w:rsid w:val="000D18A4"/>
    <w:rsid w:val="000D3D1B"/>
    <w:rsid w:val="000D600E"/>
    <w:rsid w:val="000E4E43"/>
    <w:rsid w:val="000F4902"/>
    <w:rsid w:val="00123EC2"/>
    <w:rsid w:val="00125D66"/>
    <w:rsid w:val="00137D08"/>
    <w:rsid w:val="00145966"/>
    <w:rsid w:val="00152B71"/>
    <w:rsid w:val="00160D0D"/>
    <w:rsid w:val="001666BC"/>
    <w:rsid w:val="001708C7"/>
    <w:rsid w:val="00172450"/>
    <w:rsid w:val="00180155"/>
    <w:rsid w:val="0018116A"/>
    <w:rsid w:val="00182990"/>
    <w:rsid w:val="00184350"/>
    <w:rsid w:val="0019036C"/>
    <w:rsid w:val="00192C2B"/>
    <w:rsid w:val="001972A6"/>
    <w:rsid w:val="00197752"/>
    <w:rsid w:val="00197A15"/>
    <w:rsid w:val="001A2774"/>
    <w:rsid w:val="001C5CBA"/>
    <w:rsid w:val="001C71BD"/>
    <w:rsid w:val="001D2ABE"/>
    <w:rsid w:val="001E178C"/>
    <w:rsid w:val="002010FE"/>
    <w:rsid w:val="00201816"/>
    <w:rsid w:val="002105B5"/>
    <w:rsid w:val="002142BC"/>
    <w:rsid w:val="00221B3F"/>
    <w:rsid w:val="00226651"/>
    <w:rsid w:val="002268A8"/>
    <w:rsid w:val="00240C8C"/>
    <w:rsid w:val="00246BDB"/>
    <w:rsid w:val="0025153F"/>
    <w:rsid w:val="002534C1"/>
    <w:rsid w:val="00256702"/>
    <w:rsid w:val="00262C4F"/>
    <w:rsid w:val="002837FE"/>
    <w:rsid w:val="0028598D"/>
    <w:rsid w:val="002864CE"/>
    <w:rsid w:val="002970B8"/>
    <w:rsid w:val="002A5C9D"/>
    <w:rsid w:val="002B1BE4"/>
    <w:rsid w:val="002B4034"/>
    <w:rsid w:val="002B691D"/>
    <w:rsid w:val="002C35AC"/>
    <w:rsid w:val="002C7897"/>
    <w:rsid w:val="002D7C82"/>
    <w:rsid w:val="002E7699"/>
    <w:rsid w:val="00320868"/>
    <w:rsid w:val="003209AF"/>
    <w:rsid w:val="00321BD6"/>
    <w:rsid w:val="00331DCE"/>
    <w:rsid w:val="00341964"/>
    <w:rsid w:val="00342C45"/>
    <w:rsid w:val="00343012"/>
    <w:rsid w:val="00344751"/>
    <w:rsid w:val="00355DB4"/>
    <w:rsid w:val="00365640"/>
    <w:rsid w:val="003A1858"/>
    <w:rsid w:val="003C1AC6"/>
    <w:rsid w:val="003C23EF"/>
    <w:rsid w:val="003D612D"/>
    <w:rsid w:val="003D79AA"/>
    <w:rsid w:val="003F644E"/>
    <w:rsid w:val="003F71D3"/>
    <w:rsid w:val="003F74D6"/>
    <w:rsid w:val="004048D8"/>
    <w:rsid w:val="0041087D"/>
    <w:rsid w:val="004127CB"/>
    <w:rsid w:val="00414E85"/>
    <w:rsid w:val="004212D0"/>
    <w:rsid w:val="00423C7F"/>
    <w:rsid w:val="0045095A"/>
    <w:rsid w:val="00461B69"/>
    <w:rsid w:val="00470DC7"/>
    <w:rsid w:val="00471773"/>
    <w:rsid w:val="004843F5"/>
    <w:rsid w:val="004924F0"/>
    <w:rsid w:val="004A23F9"/>
    <w:rsid w:val="004A5274"/>
    <w:rsid w:val="004A756B"/>
    <w:rsid w:val="004B106C"/>
    <w:rsid w:val="004B1488"/>
    <w:rsid w:val="004B5357"/>
    <w:rsid w:val="004B7325"/>
    <w:rsid w:val="004E2BEC"/>
    <w:rsid w:val="004E5A51"/>
    <w:rsid w:val="004E7519"/>
    <w:rsid w:val="005020A3"/>
    <w:rsid w:val="00504C66"/>
    <w:rsid w:val="00507903"/>
    <w:rsid w:val="00507FE7"/>
    <w:rsid w:val="00516D16"/>
    <w:rsid w:val="00521788"/>
    <w:rsid w:val="005326A8"/>
    <w:rsid w:val="00535DBC"/>
    <w:rsid w:val="005377B1"/>
    <w:rsid w:val="005443E5"/>
    <w:rsid w:val="0055544C"/>
    <w:rsid w:val="00557651"/>
    <w:rsid w:val="00562357"/>
    <w:rsid w:val="005850FB"/>
    <w:rsid w:val="00591F19"/>
    <w:rsid w:val="005B3485"/>
    <w:rsid w:val="005B4A18"/>
    <w:rsid w:val="005B6D9D"/>
    <w:rsid w:val="005C0738"/>
    <w:rsid w:val="005C2380"/>
    <w:rsid w:val="005E1073"/>
    <w:rsid w:val="005F4978"/>
    <w:rsid w:val="00603259"/>
    <w:rsid w:val="00611255"/>
    <w:rsid w:val="006359E9"/>
    <w:rsid w:val="006376D3"/>
    <w:rsid w:val="00637A7B"/>
    <w:rsid w:val="00661030"/>
    <w:rsid w:val="00664763"/>
    <w:rsid w:val="00665396"/>
    <w:rsid w:val="0068056A"/>
    <w:rsid w:val="006A53DF"/>
    <w:rsid w:val="006B20D7"/>
    <w:rsid w:val="006B4AE3"/>
    <w:rsid w:val="006C611D"/>
    <w:rsid w:val="006D51F3"/>
    <w:rsid w:val="006E3DBB"/>
    <w:rsid w:val="007052DD"/>
    <w:rsid w:val="007211A1"/>
    <w:rsid w:val="007265F4"/>
    <w:rsid w:val="00726959"/>
    <w:rsid w:val="00730C6D"/>
    <w:rsid w:val="00785A31"/>
    <w:rsid w:val="007B32E6"/>
    <w:rsid w:val="007B537E"/>
    <w:rsid w:val="007D2DF3"/>
    <w:rsid w:val="007D77A3"/>
    <w:rsid w:val="007E2748"/>
    <w:rsid w:val="007E372D"/>
    <w:rsid w:val="007F6CD6"/>
    <w:rsid w:val="007F788C"/>
    <w:rsid w:val="00833612"/>
    <w:rsid w:val="00834D95"/>
    <w:rsid w:val="00836E95"/>
    <w:rsid w:val="00850049"/>
    <w:rsid w:val="00851665"/>
    <w:rsid w:val="008637E6"/>
    <w:rsid w:val="00865060"/>
    <w:rsid w:val="00866966"/>
    <w:rsid w:val="0087262E"/>
    <w:rsid w:val="00874E9E"/>
    <w:rsid w:val="00874EC5"/>
    <w:rsid w:val="00881DCE"/>
    <w:rsid w:val="00891B93"/>
    <w:rsid w:val="008A3A7E"/>
    <w:rsid w:val="008A4B4C"/>
    <w:rsid w:val="008A5038"/>
    <w:rsid w:val="008B2438"/>
    <w:rsid w:val="008B33AC"/>
    <w:rsid w:val="008B77F8"/>
    <w:rsid w:val="008C1443"/>
    <w:rsid w:val="008D3D5D"/>
    <w:rsid w:val="008D5D51"/>
    <w:rsid w:val="008D61C3"/>
    <w:rsid w:val="008F432E"/>
    <w:rsid w:val="008F7325"/>
    <w:rsid w:val="00921DEF"/>
    <w:rsid w:val="009408E3"/>
    <w:rsid w:val="009544A0"/>
    <w:rsid w:val="009559BF"/>
    <w:rsid w:val="009621F5"/>
    <w:rsid w:val="0098079E"/>
    <w:rsid w:val="00981754"/>
    <w:rsid w:val="00985E09"/>
    <w:rsid w:val="00996AEE"/>
    <w:rsid w:val="009B5449"/>
    <w:rsid w:val="009C14CB"/>
    <w:rsid w:val="009D552F"/>
    <w:rsid w:val="009E210D"/>
    <w:rsid w:val="009E400A"/>
    <w:rsid w:val="009F5DF1"/>
    <w:rsid w:val="009F7228"/>
    <w:rsid w:val="00A32782"/>
    <w:rsid w:val="00A45E8F"/>
    <w:rsid w:val="00A553D8"/>
    <w:rsid w:val="00A66859"/>
    <w:rsid w:val="00A8439B"/>
    <w:rsid w:val="00A902FE"/>
    <w:rsid w:val="00A90514"/>
    <w:rsid w:val="00A9084B"/>
    <w:rsid w:val="00A91D83"/>
    <w:rsid w:val="00AA4944"/>
    <w:rsid w:val="00AB11A3"/>
    <w:rsid w:val="00AC3CE0"/>
    <w:rsid w:val="00AC6518"/>
    <w:rsid w:val="00AD6A0E"/>
    <w:rsid w:val="00AE0513"/>
    <w:rsid w:val="00AE30CF"/>
    <w:rsid w:val="00AE32E7"/>
    <w:rsid w:val="00AF6CF4"/>
    <w:rsid w:val="00AF721C"/>
    <w:rsid w:val="00B12527"/>
    <w:rsid w:val="00B12C59"/>
    <w:rsid w:val="00B13B87"/>
    <w:rsid w:val="00B254F2"/>
    <w:rsid w:val="00B43377"/>
    <w:rsid w:val="00B5332F"/>
    <w:rsid w:val="00B70E05"/>
    <w:rsid w:val="00B7218E"/>
    <w:rsid w:val="00B83CC3"/>
    <w:rsid w:val="00B91D3E"/>
    <w:rsid w:val="00B95972"/>
    <w:rsid w:val="00BA2770"/>
    <w:rsid w:val="00BB416D"/>
    <w:rsid w:val="00BB6E88"/>
    <w:rsid w:val="00BB7E06"/>
    <w:rsid w:val="00BC4214"/>
    <w:rsid w:val="00BF24E4"/>
    <w:rsid w:val="00C04811"/>
    <w:rsid w:val="00C04D1B"/>
    <w:rsid w:val="00C05263"/>
    <w:rsid w:val="00C135DC"/>
    <w:rsid w:val="00C2091D"/>
    <w:rsid w:val="00C26D01"/>
    <w:rsid w:val="00C27C66"/>
    <w:rsid w:val="00C30308"/>
    <w:rsid w:val="00C4057E"/>
    <w:rsid w:val="00C456FE"/>
    <w:rsid w:val="00C457C5"/>
    <w:rsid w:val="00C46A62"/>
    <w:rsid w:val="00C551E0"/>
    <w:rsid w:val="00C65CED"/>
    <w:rsid w:val="00C72C2D"/>
    <w:rsid w:val="00C82C0E"/>
    <w:rsid w:val="00C85F59"/>
    <w:rsid w:val="00C87287"/>
    <w:rsid w:val="00C94B9D"/>
    <w:rsid w:val="00CB0277"/>
    <w:rsid w:val="00CB193C"/>
    <w:rsid w:val="00CB752B"/>
    <w:rsid w:val="00CD2EF1"/>
    <w:rsid w:val="00CF6A3E"/>
    <w:rsid w:val="00D040EB"/>
    <w:rsid w:val="00D043F2"/>
    <w:rsid w:val="00D117B6"/>
    <w:rsid w:val="00D21A64"/>
    <w:rsid w:val="00D6783D"/>
    <w:rsid w:val="00D74466"/>
    <w:rsid w:val="00D747F8"/>
    <w:rsid w:val="00D76A30"/>
    <w:rsid w:val="00D902CF"/>
    <w:rsid w:val="00D932B3"/>
    <w:rsid w:val="00D93EC1"/>
    <w:rsid w:val="00D94712"/>
    <w:rsid w:val="00D97100"/>
    <w:rsid w:val="00DA2CD1"/>
    <w:rsid w:val="00DD5D07"/>
    <w:rsid w:val="00DF40A9"/>
    <w:rsid w:val="00DF527E"/>
    <w:rsid w:val="00DF7C6E"/>
    <w:rsid w:val="00E01E97"/>
    <w:rsid w:val="00E077F9"/>
    <w:rsid w:val="00E078AA"/>
    <w:rsid w:val="00E162AB"/>
    <w:rsid w:val="00E17D6A"/>
    <w:rsid w:val="00E30027"/>
    <w:rsid w:val="00E42D00"/>
    <w:rsid w:val="00E46622"/>
    <w:rsid w:val="00E55E8D"/>
    <w:rsid w:val="00E57D85"/>
    <w:rsid w:val="00E663E4"/>
    <w:rsid w:val="00E81A56"/>
    <w:rsid w:val="00E83817"/>
    <w:rsid w:val="00E866C4"/>
    <w:rsid w:val="00EA1181"/>
    <w:rsid w:val="00EB0A78"/>
    <w:rsid w:val="00EB4C76"/>
    <w:rsid w:val="00EB6C0F"/>
    <w:rsid w:val="00EC022A"/>
    <w:rsid w:val="00EC0E04"/>
    <w:rsid w:val="00EC2F57"/>
    <w:rsid w:val="00ED5747"/>
    <w:rsid w:val="00EE7F19"/>
    <w:rsid w:val="00EF08F1"/>
    <w:rsid w:val="00EF11CD"/>
    <w:rsid w:val="00EF271F"/>
    <w:rsid w:val="00F12FE1"/>
    <w:rsid w:val="00F23C32"/>
    <w:rsid w:val="00F246DE"/>
    <w:rsid w:val="00F275A6"/>
    <w:rsid w:val="00F27845"/>
    <w:rsid w:val="00F33190"/>
    <w:rsid w:val="00F34BE2"/>
    <w:rsid w:val="00F464A4"/>
    <w:rsid w:val="00F72DCE"/>
    <w:rsid w:val="00F82C20"/>
    <w:rsid w:val="00F83D54"/>
    <w:rsid w:val="00FA25A2"/>
    <w:rsid w:val="00FA2EDF"/>
    <w:rsid w:val="00FA4051"/>
    <w:rsid w:val="00FC3C1A"/>
    <w:rsid w:val="00FE6346"/>
    <w:rsid w:val="00FF5F12"/>
    <w:rsid w:val="00FF74E4"/>
  </w:rsids>
  <m:mathPr>
    <m:mathFont m:val="Cambria Math"/>
    <m:brkBin m:val="before"/>
    <m:brkBinSub m:val="--"/>
    <m:smallFrac m:val="0"/>
    <m:dispDef m:val="0"/>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736F9EF-10B5-467B-8FA3-C3328AA5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02F"/>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2DF3"/>
    <w:pPr>
      <w:tabs>
        <w:tab w:val="center" w:pos="4320"/>
        <w:tab w:val="right" w:pos="8640"/>
      </w:tabs>
    </w:pPr>
  </w:style>
  <w:style w:type="character" w:customStyle="1" w:styleId="EncabezadoCar">
    <w:name w:val="Encabezado Car"/>
    <w:basedOn w:val="Fuentedeprrafopredeter"/>
    <w:link w:val="Encabezado"/>
    <w:uiPriority w:val="99"/>
    <w:rsid w:val="007D2DF3"/>
  </w:style>
  <w:style w:type="paragraph" w:styleId="Piedepgina">
    <w:name w:val="footer"/>
    <w:basedOn w:val="Normal"/>
    <w:link w:val="PiedepginaCar"/>
    <w:uiPriority w:val="99"/>
    <w:unhideWhenUsed/>
    <w:rsid w:val="007D2DF3"/>
    <w:pPr>
      <w:tabs>
        <w:tab w:val="center" w:pos="4320"/>
        <w:tab w:val="right" w:pos="8640"/>
      </w:tabs>
    </w:pPr>
  </w:style>
  <w:style w:type="character" w:customStyle="1" w:styleId="PiedepginaCar">
    <w:name w:val="Pie de página Car"/>
    <w:basedOn w:val="Fuentedeprrafopredeter"/>
    <w:link w:val="Piedepgina"/>
    <w:uiPriority w:val="99"/>
    <w:rsid w:val="007D2DF3"/>
  </w:style>
  <w:style w:type="character" w:styleId="Hipervnculo">
    <w:name w:val="Hyperlink"/>
    <w:uiPriority w:val="99"/>
    <w:unhideWhenUsed/>
    <w:rsid w:val="00154265"/>
    <w:rPr>
      <w:color w:val="0000FF"/>
      <w:u w:val="single"/>
    </w:rPr>
  </w:style>
  <w:style w:type="paragraph" w:styleId="Textodeglobo">
    <w:name w:val="Balloon Text"/>
    <w:basedOn w:val="Normal"/>
    <w:link w:val="TextodegloboCar"/>
    <w:uiPriority w:val="99"/>
    <w:semiHidden/>
    <w:unhideWhenUsed/>
    <w:rsid w:val="008A5038"/>
    <w:rPr>
      <w:rFonts w:ascii="Tahoma" w:hAnsi="Tahoma" w:cs="Tahoma"/>
      <w:sz w:val="16"/>
      <w:szCs w:val="16"/>
    </w:rPr>
  </w:style>
  <w:style w:type="character" w:customStyle="1" w:styleId="TextodegloboCar">
    <w:name w:val="Texto de globo Car"/>
    <w:basedOn w:val="Fuentedeprrafopredeter"/>
    <w:link w:val="Textodeglobo"/>
    <w:uiPriority w:val="99"/>
    <w:semiHidden/>
    <w:rsid w:val="008A5038"/>
    <w:rPr>
      <w:rFonts w:ascii="Tahoma" w:hAnsi="Tahoma" w:cs="Tahoma"/>
      <w:sz w:val="16"/>
      <w:szCs w:val="16"/>
      <w:lang w:val="en-US" w:eastAsia="en-US"/>
    </w:rPr>
  </w:style>
  <w:style w:type="paragraph" w:styleId="Prrafodelista">
    <w:name w:val="List Paragraph"/>
    <w:basedOn w:val="Normal"/>
    <w:link w:val="PrrafodelistaCar"/>
    <w:uiPriority w:val="34"/>
    <w:qFormat/>
    <w:rsid w:val="008A5038"/>
    <w:pPr>
      <w:ind w:left="720"/>
      <w:contextualSpacing/>
    </w:pPr>
  </w:style>
  <w:style w:type="table" w:styleId="Tabladecuadrcula4-nfasis3">
    <w:name w:val="Grid Table 4 Accent 3"/>
    <w:basedOn w:val="Tablanormal"/>
    <w:uiPriority w:val="49"/>
    <w:rsid w:val="00664763"/>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PrrafodelistaCar">
    <w:name w:val="Párrafo de lista Car"/>
    <w:link w:val="Prrafodelista"/>
    <w:uiPriority w:val="34"/>
    <w:locked/>
    <w:rsid w:val="0066476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82990">
      <w:bodyDiv w:val="1"/>
      <w:marLeft w:val="0"/>
      <w:marRight w:val="0"/>
      <w:marTop w:val="0"/>
      <w:marBottom w:val="0"/>
      <w:divBdr>
        <w:top w:val="none" w:sz="0" w:space="0" w:color="auto"/>
        <w:left w:val="none" w:sz="0" w:space="0" w:color="auto"/>
        <w:bottom w:val="none" w:sz="0" w:space="0" w:color="auto"/>
        <w:right w:val="none" w:sz="0" w:space="0" w:color="auto"/>
      </w:divBdr>
    </w:div>
    <w:div w:id="444925492">
      <w:bodyDiv w:val="1"/>
      <w:marLeft w:val="0"/>
      <w:marRight w:val="0"/>
      <w:marTop w:val="0"/>
      <w:marBottom w:val="0"/>
      <w:divBdr>
        <w:top w:val="none" w:sz="0" w:space="0" w:color="auto"/>
        <w:left w:val="none" w:sz="0" w:space="0" w:color="auto"/>
        <w:bottom w:val="none" w:sz="0" w:space="0" w:color="auto"/>
        <w:right w:val="none" w:sz="0" w:space="0" w:color="auto"/>
      </w:divBdr>
    </w:div>
    <w:div w:id="7863112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1309</Words>
  <Characters>7201</Characters>
  <Application>Microsoft Office Word</Application>
  <DocSecurity>0</DocSecurity>
  <Lines>60</Lines>
  <Paragraphs>16</Paragraphs>
  <ScaleCrop>false</ScaleCrop>
  <HeadingPairs>
    <vt:vector size="6" baseType="variant">
      <vt:variant>
        <vt:lpstr>Título</vt:lpstr>
      </vt:variant>
      <vt:variant>
        <vt:i4>1</vt:i4>
      </vt:variant>
      <vt:variant>
        <vt:lpstr>Title</vt:lpstr>
      </vt:variant>
      <vt:variant>
        <vt:i4>1</vt:i4>
      </vt:variant>
      <vt:variant>
        <vt:lpstr>Headings</vt:lpstr>
      </vt:variant>
      <vt:variant>
        <vt:i4>38</vt:i4>
      </vt:variant>
    </vt:vector>
  </HeadingPairs>
  <TitlesOfParts>
    <vt:vector size="40" baseType="lpstr">
      <vt:lpstr>Encabezado</vt:lpstr>
      <vt:lpstr>Encabezado</vt:lpstr>
      <vt:lpstr>Encabezado</vt:lpstr>
      <vt:lpstr>Tipografía Verdana bold</vt:lpstr>
      <vt:lpstr>Cuerpo 9 min. - 12 Max.</vt:lpstr>
      <vt:lpstr/>
      <vt:lpstr>Texto principal en Verdada Regular en cuerpo 8 a 10. Los cuerpos tipográficos po</vt:lpstr>
      <vt:lpstr/>
      <vt:lpstr>Es recomendable no utilizar cuerpos tipográficos por arriba del cuerpo 14 ya que</vt:lpstr>
      <vt:lpstr/>
      <vt:lpstr>Si se desean destacar ciertas palabras dentro de un texto recurrir a los criteri</vt:lpstr>
      <vt:lpstr/>
      <vt:lpstr>Las cajas de texto deben estar justificados en su mayoría.</vt:lpstr>
      <vt:lpstr>La segunda alternativa es que se justifiquen a la izquierda.</vt:lpstr>
      <vt:lpstr>Nunca justificar a la derecha.</vt:lpstr>
      <vt:lpstr>Y el centrado no ayuda al ordenamiento de la idea de marca y de la lectura ya qu</vt:lpstr>
      <vt:lpstr/>
      <vt:lpstr>Ejemplo:</vt:lpstr>
      <vt:lpstr/>
      <vt:lpstr>Estimado FutureBrand</vt:lpstr>
      <vt:lpstr>El Bosque Norte 0123</vt:lpstr>
      <vt:lpstr>12 de Noviembre de 2010</vt:lpstr>
      <vt:lpstr/>
      <vt:lpstr>The official wording on our partnership is:</vt:lpstr>
      <vt:lpstr>FutureBrand Country Brand Index 2010 presented in partnership with BBC World New</vt:lpstr>
      <vt:lpstr/>
      <vt:lpstr>Going forward if you are asked any questions regarding the BBC World News partne</vt:lpstr>
      <vt:lpstr/>
      <vt:lpstr>What does ‘in partnership with BBC World News’ mean?</vt:lpstr>
      <vt:lpstr>FutureBrand continues to own both the authorship and methodology of the Country </vt:lpstr>
      <vt:lpstr/>
      <vt:lpstr>What is the exact nature of the participation from BBCWN in this process?</vt:lpstr>
      <vt:lpstr>While this report has neither been created ‘for’ or indeed ‘endorsed by’ BBC Wor</vt:lpstr>
      <vt:lpstr/>
      <vt:lpstr>What does ‘support’ mean?</vt:lpstr>
      <vt:lpstr>BBC World News has made an investment in the Index.</vt:lpstr>
      <vt:lpstr/>
      <vt:lpstr>What is the size of the investment BBCWN has made in the Index?</vt:lpstr>
      <vt:lpstr>That is commercially sensitive information, which we would not disclose.</vt:lpstr>
      <vt:lpstr/>
    </vt:vector>
  </TitlesOfParts>
  <Company>Gabriel Badagnani</Company>
  <LinksUpToDate>false</LinksUpToDate>
  <CharactersWithSpaces>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Encabezado</dc:title>
  <dc:creator>Agustina.Foieri</dc:creator>
  <cp:lastModifiedBy>Gustavo Figueroa Garrido (DOH)</cp:lastModifiedBy>
  <cp:revision>2</cp:revision>
  <cp:lastPrinted>2011-04-04T22:43:00Z</cp:lastPrinted>
  <dcterms:created xsi:type="dcterms:W3CDTF">2025-10-20T14:07:00Z</dcterms:created>
  <dcterms:modified xsi:type="dcterms:W3CDTF">2025-10-20T14:07:00Z</dcterms:modified>
</cp:coreProperties>
</file>